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9C3B6" w14:textId="77777777" w:rsidR="0074433D" w:rsidRDefault="0074433D" w:rsidP="00A253A2">
      <w:pPr>
        <w:rPr>
          <w:b/>
          <w:sz w:val="32"/>
          <w:szCs w:val="32"/>
        </w:rPr>
      </w:pPr>
    </w:p>
    <w:p w14:paraId="7E96245C" w14:textId="77777777" w:rsidR="00D8157E" w:rsidRDefault="0074433D" w:rsidP="00A253A2">
      <w:pPr>
        <w:rPr>
          <w:b/>
          <w:sz w:val="32"/>
          <w:szCs w:val="32"/>
        </w:rPr>
      </w:pPr>
      <w:r>
        <w:rPr>
          <w:b/>
          <w:noProof/>
          <w:sz w:val="32"/>
          <w:szCs w:val="32"/>
        </w:rPr>
        <w:drawing>
          <wp:inline distT="0" distB="0" distL="0" distR="0" wp14:anchorId="1E31781D" wp14:editId="6AD9B145">
            <wp:extent cx="2590800" cy="57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579120"/>
                    </a:xfrm>
                    <a:prstGeom prst="rect">
                      <a:avLst/>
                    </a:prstGeom>
                    <a:noFill/>
                  </pic:spPr>
                </pic:pic>
              </a:graphicData>
            </a:graphic>
          </wp:inline>
        </w:drawing>
      </w:r>
    </w:p>
    <w:p w14:paraId="60FDD861" w14:textId="77777777" w:rsidR="0074433D" w:rsidRDefault="00EF455F" w:rsidP="00A253A2">
      <w:pPr>
        <w:rPr>
          <w:b/>
          <w:sz w:val="32"/>
          <w:szCs w:val="32"/>
        </w:rPr>
      </w:pPr>
      <w:r>
        <w:rPr>
          <w:b/>
          <w:sz w:val="32"/>
          <w:szCs w:val="32"/>
        </w:rPr>
        <w:t>22 March 2012</w:t>
      </w:r>
    </w:p>
    <w:p w14:paraId="0562DDEE" w14:textId="77777777" w:rsidR="00A253A2" w:rsidRPr="0074433D" w:rsidRDefault="00D8157E" w:rsidP="00A253A2">
      <w:pPr>
        <w:rPr>
          <w:rFonts w:ascii="Tahoma" w:hAnsi="Tahoma" w:cs="Tahoma"/>
          <w:b/>
          <w:sz w:val="36"/>
          <w:szCs w:val="36"/>
        </w:rPr>
      </w:pPr>
      <w:r w:rsidRPr="0074433D">
        <w:rPr>
          <w:rFonts w:ascii="Tahoma" w:hAnsi="Tahoma" w:cs="Tahoma"/>
          <w:b/>
          <w:sz w:val="36"/>
          <w:szCs w:val="36"/>
        </w:rPr>
        <w:t>OSHA Global Harmonized Hazard Communication Standard Fact Sheet</w:t>
      </w:r>
    </w:p>
    <w:p w14:paraId="3CE89B06" w14:textId="77777777" w:rsidR="00A253A2" w:rsidRPr="0074433D" w:rsidRDefault="00A253A2" w:rsidP="0074433D">
      <w:pPr>
        <w:pStyle w:val="NormalWeb"/>
        <w:spacing w:before="0" w:beforeAutospacing="0"/>
        <w:jc w:val="both"/>
        <w:rPr>
          <w:rFonts w:ascii="Arial" w:hAnsi="Arial" w:cs="Arial"/>
          <w:i/>
          <w:sz w:val="20"/>
          <w:szCs w:val="20"/>
        </w:rPr>
      </w:pPr>
      <w:r w:rsidRPr="0074433D">
        <w:rPr>
          <w:rFonts w:ascii="Arial" w:hAnsi="Arial" w:cs="Arial"/>
          <w:i/>
          <w:sz w:val="20"/>
          <w:szCs w:val="20"/>
        </w:rPr>
        <w:t xml:space="preserve">OSHA's Hazard Communication Standard (HCS), first issued in 1983, was designed to ensure that employers provide information about potential health and physical hazards and associated protective measures to their workers. </w:t>
      </w:r>
      <w:r w:rsidR="00C22CBE" w:rsidRPr="0074433D">
        <w:rPr>
          <w:rFonts w:ascii="Arial" w:hAnsi="Arial" w:cs="Arial"/>
          <w:i/>
          <w:sz w:val="20"/>
          <w:szCs w:val="20"/>
        </w:rPr>
        <w:t xml:space="preserve">OSHA has just announced  March 20, 2012, a </w:t>
      </w:r>
      <w:r w:rsidRPr="0074433D">
        <w:rPr>
          <w:rFonts w:ascii="Arial" w:hAnsi="Arial" w:cs="Arial"/>
          <w:i/>
          <w:sz w:val="20"/>
          <w:szCs w:val="20"/>
        </w:rPr>
        <w:t>final rule updating OSHA'</w:t>
      </w:r>
      <w:r w:rsidR="00C22CBE" w:rsidRPr="0074433D">
        <w:rPr>
          <w:rFonts w:ascii="Arial" w:hAnsi="Arial" w:cs="Arial"/>
          <w:i/>
          <w:sz w:val="20"/>
          <w:szCs w:val="20"/>
        </w:rPr>
        <w:t xml:space="preserve">s Hazard Communication Standard to </w:t>
      </w:r>
      <w:r w:rsidRPr="0074433D">
        <w:rPr>
          <w:rFonts w:ascii="Arial" w:hAnsi="Arial" w:cs="Arial"/>
          <w:i/>
          <w:sz w:val="20"/>
          <w:szCs w:val="20"/>
        </w:rPr>
        <w:t>align with the United Nations' Globally Harmonized System of Classification and Labeling of Chemicals</w:t>
      </w:r>
      <w:r w:rsidR="00C22CBE" w:rsidRPr="0074433D">
        <w:rPr>
          <w:rFonts w:ascii="Arial" w:hAnsi="Arial" w:cs="Arial"/>
          <w:i/>
          <w:sz w:val="20"/>
          <w:szCs w:val="20"/>
        </w:rPr>
        <w:t xml:space="preserve">. </w:t>
      </w:r>
      <w:hyperlink r:id="rId7" w:history="1">
        <w:proofErr w:type="spellStart"/>
        <w:r w:rsidR="00C22CBE" w:rsidRPr="0074433D">
          <w:rPr>
            <w:rStyle w:val="Hyperlink"/>
            <w:rFonts w:ascii="Arial" w:hAnsi="Arial" w:cs="Arial"/>
            <w:i/>
            <w:sz w:val="20"/>
            <w:szCs w:val="20"/>
          </w:rPr>
          <w:t>Globally_Harmonized_System_Guide</w:t>
        </w:r>
        <w:proofErr w:type="spellEnd"/>
      </w:hyperlink>
      <w:r w:rsidR="00C22CBE" w:rsidRPr="0074433D">
        <w:rPr>
          <w:rFonts w:ascii="Arial" w:hAnsi="Arial" w:cs="Arial"/>
          <w:i/>
          <w:sz w:val="20"/>
          <w:szCs w:val="20"/>
        </w:rPr>
        <w:t xml:space="preserve">. Employers must start training to understand the new label elements and </w:t>
      </w:r>
      <w:r w:rsidR="00D8157E" w:rsidRPr="0074433D">
        <w:rPr>
          <w:rFonts w:ascii="Arial" w:hAnsi="Arial" w:cs="Arial"/>
          <w:i/>
          <w:sz w:val="20"/>
          <w:szCs w:val="20"/>
        </w:rPr>
        <w:t xml:space="preserve">Safety Data Sheets </w:t>
      </w:r>
      <w:r w:rsidR="00C22CBE" w:rsidRPr="0074433D">
        <w:rPr>
          <w:rFonts w:ascii="Arial" w:hAnsi="Arial" w:cs="Arial"/>
          <w:i/>
          <w:sz w:val="20"/>
          <w:szCs w:val="20"/>
        </w:rPr>
        <w:t>format by December 1, 2013.</w:t>
      </w:r>
    </w:p>
    <w:p w14:paraId="42900B6C" w14:textId="77777777" w:rsidR="00C22CBE" w:rsidRPr="00A253A2" w:rsidRDefault="00C22CBE" w:rsidP="00C22CBE">
      <w:pPr>
        <w:pStyle w:val="NormalWeb"/>
        <w:spacing w:before="0" w:beforeAutospacing="0"/>
        <w:ind w:firstLine="225"/>
        <w:jc w:val="both"/>
        <w:rPr>
          <w:rFonts w:asciiTheme="minorHAnsi" w:hAnsiTheme="minorHAnsi" w:cstheme="minorBidi"/>
          <w:sz w:val="22"/>
          <w:szCs w:val="22"/>
        </w:rPr>
      </w:pPr>
    </w:p>
    <w:p w14:paraId="2B130AB3" w14:textId="77777777" w:rsidR="00C22CBE" w:rsidRPr="00C22CBE" w:rsidRDefault="00C22CBE" w:rsidP="00C22CBE">
      <w:pPr>
        <w:shd w:val="clear" w:color="auto" w:fill="FFFFFF"/>
        <w:spacing w:before="100" w:beforeAutospacing="1" w:after="100" w:afterAutospacing="1" w:line="240" w:lineRule="auto"/>
        <w:outlineLvl w:val="0"/>
        <w:rPr>
          <w:rFonts w:ascii="Tahoma" w:eastAsia="Times New Roman" w:hAnsi="Tahoma" w:cs="Tahoma"/>
          <w:b/>
          <w:bCs/>
          <w:color w:val="000000"/>
          <w:kern w:val="36"/>
          <w:sz w:val="28"/>
          <w:szCs w:val="28"/>
        </w:rPr>
      </w:pPr>
      <w:r w:rsidRPr="00C22CBE">
        <w:rPr>
          <w:rFonts w:ascii="Tahoma" w:eastAsia="Times New Roman" w:hAnsi="Tahoma" w:cs="Tahoma"/>
          <w:b/>
          <w:bCs/>
          <w:color w:val="000000"/>
          <w:kern w:val="36"/>
          <w:sz w:val="28"/>
          <w:szCs w:val="28"/>
        </w:rPr>
        <w:t>Changes to Anticipate</w:t>
      </w:r>
    </w:p>
    <w:p w14:paraId="148E2E0D" w14:textId="77777777" w:rsidR="00C22CBE" w:rsidRDefault="00C22CBE" w:rsidP="0074433D">
      <w:pPr>
        <w:pStyle w:val="NormalWeb"/>
        <w:spacing w:before="0" w:beforeAutospacing="0"/>
        <w:jc w:val="both"/>
        <w:rPr>
          <w:rFonts w:ascii="Arial" w:hAnsi="Arial" w:cs="Arial"/>
          <w:sz w:val="20"/>
          <w:szCs w:val="20"/>
        </w:rPr>
      </w:pPr>
      <w:r>
        <w:rPr>
          <w:rFonts w:ascii="Arial" w:hAnsi="Arial" w:cs="Arial"/>
          <w:sz w:val="20"/>
          <w:szCs w:val="20"/>
        </w:rPr>
        <w:t xml:space="preserve">The revised </w:t>
      </w:r>
      <w:hyperlink r:id="rId8" w:history="1">
        <w:r>
          <w:rPr>
            <w:rStyle w:val="Hyperlink"/>
            <w:rFonts w:ascii="Arial" w:hAnsi="Arial" w:cs="Arial"/>
            <w:sz w:val="20"/>
            <w:szCs w:val="20"/>
          </w:rPr>
          <w:t>Hazard Communication Standard</w:t>
        </w:r>
      </w:hyperlink>
      <w:r>
        <w:rPr>
          <w:rFonts w:ascii="Arial" w:hAnsi="Arial" w:cs="Arial"/>
          <w:sz w:val="20"/>
          <w:szCs w:val="20"/>
        </w:rPr>
        <w:t xml:space="preserve"> will now provide </w:t>
      </w:r>
      <w:hyperlink r:id="rId9" w:anchor="3.0" w:history="1">
        <w:r>
          <w:rPr>
            <w:rStyle w:val="Hyperlink"/>
            <w:rFonts w:ascii="Arial" w:hAnsi="Arial" w:cs="Arial"/>
            <w:sz w:val="20"/>
            <w:szCs w:val="20"/>
          </w:rPr>
          <w:t>specific criteria for health and physical hazards</w:t>
        </w:r>
      </w:hyperlink>
      <w:r>
        <w:rPr>
          <w:rFonts w:ascii="Arial" w:hAnsi="Arial" w:cs="Arial"/>
          <w:sz w:val="20"/>
          <w:szCs w:val="20"/>
        </w:rPr>
        <w:t xml:space="preserve"> to help chemical manufacturers and importers classify chemical hazards. Hazard classification is the procedure of identifying and evaluating available scientific evidence to determine if a chemical is hazardous, and the degree of the hazard.</w:t>
      </w:r>
    </w:p>
    <w:p w14:paraId="2D8964F7" w14:textId="77777777" w:rsidR="00C22CBE" w:rsidRDefault="00C22CBE" w:rsidP="00C22CBE">
      <w:pPr>
        <w:pStyle w:val="NormalWeb"/>
        <w:spacing w:before="0" w:beforeAutospacing="0"/>
        <w:jc w:val="both"/>
        <w:rPr>
          <w:rFonts w:ascii="Arial" w:hAnsi="Arial" w:cs="Arial"/>
          <w:sz w:val="20"/>
          <w:szCs w:val="20"/>
        </w:rPr>
      </w:pPr>
      <w:r>
        <w:rPr>
          <w:rFonts w:ascii="Arial" w:hAnsi="Arial" w:cs="Arial"/>
          <w:sz w:val="20"/>
          <w:szCs w:val="20"/>
        </w:rPr>
        <w:t xml:space="preserve">Chemical manufacturers and importers will be required to provide </w:t>
      </w:r>
      <w:hyperlink r:id="rId10" w:history="1">
        <w:r>
          <w:rPr>
            <w:rStyle w:val="Hyperlink"/>
            <w:rFonts w:ascii="Arial" w:hAnsi="Arial" w:cs="Arial"/>
            <w:sz w:val="20"/>
            <w:szCs w:val="20"/>
          </w:rPr>
          <w:t>new labels</w:t>
        </w:r>
      </w:hyperlink>
      <w:r>
        <w:rPr>
          <w:rFonts w:ascii="Arial" w:hAnsi="Arial" w:cs="Arial"/>
          <w:sz w:val="20"/>
          <w:szCs w:val="20"/>
        </w:rPr>
        <w:t xml:space="preserve"> that include a harmonized signal word, pictogram, and hazard statement based on the hazard classification. Precautionary statements must also be provided. </w:t>
      </w:r>
      <w:hyperlink r:id="rId11" w:history="1">
        <w:r>
          <w:rPr>
            <w:rStyle w:val="Hyperlink"/>
            <w:rFonts w:ascii="Arial" w:hAnsi="Arial" w:cs="Arial"/>
            <w:sz w:val="20"/>
            <w:szCs w:val="20"/>
          </w:rPr>
          <w:t>Safety data sheets</w:t>
        </w:r>
      </w:hyperlink>
      <w:r>
        <w:rPr>
          <w:rFonts w:ascii="Arial" w:hAnsi="Arial" w:cs="Arial"/>
          <w:sz w:val="20"/>
          <w:szCs w:val="20"/>
        </w:rPr>
        <w:t xml:space="preserve"> (SDS) will have a specified 16-section format.</w:t>
      </w:r>
    </w:p>
    <w:p w14:paraId="0AF33312" w14:textId="77777777" w:rsidR="00C22CBE" w:rsidRDefault="00C22CBE" w:rsidP="00C22CBE">
      <w:pPr>
        <w:pStyle w:val="NormalWeb"/>
        <w:spacing w:before="0" w:beforeAutospacing="0"/>
        <w:jc w:val="both"/>
        <w:rPr>
          <w:rFonts w:ascii="Arial" w:hAnsi="Arial" w:cs="Arial"/>
          <w:sz w:val="20"/>
          <w:szCs w:val="20"/>
        </w:rPr>
      </w:pPr>
      <w:r>
        <w:rPr>
          <w:rFonts w:ascii="Arial" w:hAnsi="Arial" w:cs="Arial"/>
          <w:sz w:val="20"/>
          <w:szCs w:val="20"/>
        </w:rPr>
        <w:t xml:space="preserve">The modified HCS will also require that workers receive information and training by </w:t>
      </w:r>
      <w:r>
        <w:rPr>
          <w:rStyle w:val="Strong"/>
          <w:rFonts w:ascii="Arial" w:hAnsi="Arial" w:cs="Arial"/>
          <w:sz w:val="20"/>
          <w:szCs w:val="20"/>
        </w:rPr>
        <w:t>December 1, 2013</w:t>
      </w:r>
      <w:r>
        <w:rPr>
          <w:rFonts w:ascii="Arial" w:hAnsi="Arial" w:cs="Arial"/>
          <w:sz w:val="20"/>
          <w:szCs w:val="20"/>
        </w:rPr>
        <w:t xml:space="preserve"> to facilitate recognition and understanding of the new labels and safety data sheets.</w:t>
      </w:r>
    </w:p>
    <w:p w14:paraId="2EFAFD20" w14:textId="77777777" w:rsidR="00C22CBE" w:rsidRDefault="00C22CBE" w:rsidP="00C22CBE">
      <w:pPr>
        <w:pStyle w:val="NormalWeb"/>
        <w:spacing w:before="0" w:beforeAutospacing="0"/>
        <w:jc w:val="both"/>
        <w:rPr>
          <w:rFonts w:ascii="Arial" w:hAnsi="Arial" w:cs="Arial"/>
          <w:sz w:val="20"/>
          <w:szCs w:val="20"/>
        </w:rPr>
      </w:pPr>
    </w:p>
    <w:p w14:paraId="6DCD8851" w14:textId="77777777" w:rsidR="00A253A2" w:rsidRDefault="00A253A2" w:rsidP="00A253A2">
      <w:pPr>
        <w:shd w:val="clear" w:color="auto" w:fill="FFFFFF"/>
        <w:spacing w:before="100" w:beforeAutospacing="1" w:after="100" w:afterAutospacing="1" w:line="240" w:lineRule="auto"/>
        <w:outlineLvl w:val="0"/>
        <w:rPr>
          <w:rFonts w:ascii="Tahoma" w:eastAsia="Times New Roman" w:hAnsi="Tahoma" w:cs="Tahoma"/>
          <w:b/>
          <w:bCs/>
          <w:color w:val="000000"/>
          <w:kern w:val="36"/>
          <w:sz w:val="28"/>
          <w:szCs w:val="28"/>
        </w:rPr>
      </w:pPr>
      <w:r w:rsidRPr="00A253A2">
        <w:rPr>
          <w:rFonts w:ascii="Tahoma" w:eastAsia="Times New Roman" w:hAnsi="Tahoma" w:cs="Tahoma"/>
          <w:b/>
          <w:bCs/>
          <w:color w:val="000000"/>
          <w:kern w:val="36"/>
          <w:sz w:val="28"/>
          <w:szCs w:val="28"/>
        </w:rPr>
        <w:t>Effective Dates</w:t>
      </w:r>
    </w:p>
    <w:p w14:paraId="00F38783" w14:textId="77777777" w:rsidR="00C22CBE" w:rsidRDefault="00C22CBE" w:rsidP="0074433D">
      <w:pPr>
        <w:pStyle w:val="NormalWeb"/>
        <w:spacing w:before="0" w:beforeAutospacing="0"/>
        <w:jc w:val="both"/>
        <w:rPr>
          <w:rFonts w:ascii="Arial" w:hAnsi="Arial" w:cs="Arial"/>
          <w:sz w:val="20"/>
          <w:szCs w:val="20"/>
        </w:rPr>
      </w:pPr>
      <w:r>
        <w:rPr>
          <w:rFonts w:ascii="Arial" w:hAnsi="Arial" w:cs="Arial"/>
          <w:sz w:val="20"/>
          <w:szCs w:val="20"/>
        </w:rPr>
        <w:t xml:space="preserve">Employers must train workers on the new label elements and SDS format by </w:t>
      </w:r>
      <w:r>
        <w:rPr>
          <w:rStyle w:val="Strong"/>
          <w:rFonts w:ascii="Arial" w:hAnsi="Arial" w:cs="Arial"/>
          <w:sz w:val="20"/>
          <w:szCs w:val="20"/>
        </w:rPr>
        <w:t>December 1, 2013</w:t>
      </w:r>
      <w:r>
        <w:rPr>
          <w:rFonts w:ascii="Arial" w:hAnsi="Arial" w:cs="Arial"/>
          <w:sz w:val="20"/>
          <w:szCs w:val="20"/>
        </w:rPr>
        <w:t xml:space="preserve">. Chemical manufacturers, importers, distributors, and employers must comply with all modified provisions of the final rule by </w:t>
      </w:r>
      <w:r>
        <w:rPr>
          <w:rStyle w:val="Strong"/>
          <w:rFonts w:ascii="Arial" w:hAnsi="Arial" w:cs="Arial"/>
          <w:sz w:val="20"/>
          <w:szCs w:val="20"/>
        </w:rPr>
        <w:t>June 1, 2015</w:t>
      </w:r>
      <w:r>
        <w:rPr>
          <w:rFonts w:ascii="Arial" w:hAnsi="Arial" w:cs="Arial"/>
          <w:sz w:val="20"/>
          <w:szCs w:val="20"/>
        </w:rPr>
        <w:t xml:space="preserve">. However, distributors may ship products labeled by manufacturers under the old system until </w:t>
      </w:r>
      <w:r>
        <w:rPr>
          <w:rStyle w:val="Strong"/>
          <w:rFonts w:ascii="Arial" w:hAnsi="Arial" w:cs="Arial"/>
          <w:sz w:val="20"/>
          <w:szCs w:val="20"/>
        </w:rPr>
        <w:t>December 1, 2015</w:t>
      </w:r>
      <w:r>
        <w:rPr>
          <w:rFonts w:ascii="Arial" w:hAnsi="Arial" w:cs="Arial"/>
          <w:sz w:val="20"/>
          <w:szCs w:val="20"/>
        </w:rPr>
        <w:t xml:space="preserve">. By </w:t>
      </w:r>
      <w:r>
        <w:rPr>
          <w:rStyle w:val="Strong"/>
          <w:rFonts w:ascii="Arial" w:hAnsi="Arial" w:cs="Arial"/>
          <w:sz w:val="20"/>
          <w:szCs w:val="20"/>
        </w:rPr>
        <w:t>June 1, 2016</w:t>
      </w:r>
      <w:r>
        <w:rPr>
          <w:rFonts w:ascii="Arial" w:hAnsi="Arial" w:cs="Arial"/>
          <w:sz w:val="20"/>
          <w:szCs w:val="20"/>
        </w:rPr>
        <w:t>, employers must update alternative workplace labeling and hazard communication programs as necessary, and provide additional worker training for new identified physical and health hazards. During this transition period, all chemical manufacturers, importers, distributors, and employers may comply with either 29 CFR 1910.1200 (this final standard), or the current standard, or both.</w:t>
      </w:r>
      <w:r w:rsidR="0074433D">
        <w:rPr>
          <w:rFonts w:ascii="Arial" w:hAnsi="Arial" w:cs="Arial"/>
          <w:sz w:val="20"/>
          <w:szCs w:val="20"/>
        </w:rPr>
        <w:t xml:space="preserve"> See table below for phase in dates required:</w:t>
      </w:r>
    </w:p>
    <w:p w14:paraId="19A25847" w14:textId="77777777" w:rsidR="00A253A2" w:rsidRPr="00A253A2" w:rsidRDefault="00A253A2" w:rsidP="00A253A2">
      <w:pPr>
        <w:shd w:val="clear" w:color="auto" w:fill="FFFFFF"/>
        <w:spacing w:before="100" w:beforeAutospacing="1" w:after="100" w:afterAutospacing="1" w:line="240" w:lineRule="auto"/>
        <w:rPr>
          <w:rFonts w:ascii="Tahoma" w:eastAsia="Times New Roman" w:hAnsi="Tahoma" w:cs="Tahoma"/>
          <w:b/>
          <w:bCs/>
          <w:color w:val="000000"/>
          <w:sz w:val="19"/>
          <w:szCs w:val="19"/>
        </w:rPr>
      </w:pPr>
    </w:p>
    <w:tbl>
      <w:tblPr>
        <w:tblW w:w="12000" w:type="dxa"/>
        <w:tblCellSpacing w:w="0"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4A0" w:firstRow="1" w:lastRow="0" w:firstColumn="1" w:lastColumn="0" w:noHBand="0" w:noVBand="1"/>
      </w:tblPr>
      <w:tblGrid>
        <w:gridCol w:w="2754"/>
        <w:gridCol w:w="6371"/>
        <w:gridCol w:w="2875"/>
      </w:tblGrid>
      <w:tr w:rsidR="00A253A2" w:rsidRPr="00A253A2" w14:paraId="730C936A" w14:textId="77777777"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04214B4D" w14:textId="77777777" w:rsidR="00A253A2" w:rsidRPr="00A253A2" w:rsidRDefault="00A253A2" w:rsidP="00A253A2">
            <w:pPr>
              <w:spacing w:before="100" w:beforeAutospacing="1" w:after="100" w:afterAutospacing="1" w:line="240" w:lineRule="auto"/>
              <w:jc w:val="center"/>
              <w:rPr>
                <w:rFonts w:ascii="Tahoma" w:eastAsia="Times New Roman" w:hAnsi="Tahoma" w:cs="Tahoma"/>
                <w:b/>
                <w:bCs/>
                <w:color w:val="000000"/>
                <w:sz w:val="19"/>
                <w:szCs w:val="19"/>
              </w:rPr>
            </w:pPr>
            <w:r w:rsidRPr="00A253A2">
              <w:rPr>
                <w:rFonts w:ascii="Tahoma" w:eastAsia="Times New Roman" w:hAnsi="Tahoma" w:cs="Tahoma"/>
                <w:b/>
                <w:bCs/>
                <w:color w:val="000000"/>
                <w:sz w:val="19"/>
                <w:szCs w:val="19"/>
              </w:rPr>
              <w:lastRenderedPageBreak/>
              <w:t>Effective Completion Date</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0C528E19" w14:textId="77777777" w:rsidR="00A253A2" w:rsidRPr="00A253A2" w:rsidRDefault="00A253A2" w:rsidP="00A253A2">
            <w:pPr>
              <w:spacing w:before="100" w:beforeAutospacing="1" w:after="100" w:afterAutospacing="1" w:line="240" w:lineRule="auto"/>
              <w:jc w:val="center"/>
              <w:rPr>
                <w:rFonts w:ascii="Tahoma" w:eastAsia="Times New Roman" w:hAnsi="Tahoma" w:cs="Tahoma"/>
                <w:b/>
                <w:bCs/>
                <w:color w:val="000000"/>
                <w:sz w:val="19"/>
                <w:szCs w:val="19"/>
              </w:rPr>
            </w:pPr>
            <w:r w:rsidRPr="00A253A2">
              <w:rPr>
                <w:rFonts w:ascii="Tahoma" w:eastAsia="Times New Roman" w:hAnsi="Tahoma" w:cs="Tahoma"/>
                <w:b/>
                <w:bCs/>
                <w:color w:val="000000"/>
                <w:sz w:val="19"/>
                <w:szCs w:val="19"/>
              </w:rPr>
              <w:t>Requirement(s)</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56220AFE" w14:textId="77777777" w:rsidR="00A253A2" w:rsidRPr="00A253A2" w:rsidRDefault="00A253A2" w:rsidP="00A253A2">
            <w:pPr>
              <w:spacing w:before="100" w:beforeAutospacing="1" w:after="100" w:afterAutospacing="1" w:line="240" w:lineRule="auto"/>
              <w:jc w:val="center"/>
              <w:rPr>
                <w:rFonts w:ascii="Tahoma" w:eastAsia="Times New Roman" w:hAnsi="Tahoma" w:cs="Tahoma"/>
                <w:b/>
                <w:bCs/>
                <w:color w:val="000000"/>
                <w:sz w:val="19"/>
                <w:szCs w:val="19"/>
              </w:rPr>
            </w:pPr>
            <w:r w:rsidRPr="00A253A2">
              <w:rPr>
                <w:rFonts w:ascii="Tahoma" w:eastAsia="Times New Roman" w:hAnsi="Tahoma" w:cs="Tahoma"/>
                <w:b/>
                <w:bCs/>
                <w:color w:val="000000"/>
                <w:sz w:val="19"/>
                <w:szCs w:val="19"/>
              </w:rPr>
              <w:t>Who</w:t>
            </w:r>
          </w:p>
        </w:tc>
      </w:tr>
      <w:tr w:rsidR="00A253A2" w:rsidRPr="00A253A2" w14:paraId="08875FBD" w14:textId="77777777"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14:paraId="448049A3" w14:textId="77777777"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 xml:space="preserve">December 1, 2013 </w:t>
            </w:r>
          </w:p>
        </w:tc>
        <w:tc>
          <w:tcPr>
            <w:tcW w:w="0" w:type="auto"/>
            <w:tcBorders>
              <w:top w:val="outset" w:sz="6" w:space="0" w:color="666666"/>
              <w:left w:val="outset" w:sz="6" w:space="0" w:color="666666"/>
              <w:bottom w:val="outset" w:sz="6" w:space="0" w:color="666666"/>
              <w:right w:val="outset" w:sz="6" w:space="0" w:color="666666"/>
            </w:tcBorders>
            <w:hideMark/>
          </w:tcPr>
          <w:p w14:paraId="0895BD12" w14:textId="77777777"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Train employees on the new label elements and safety data sheet (SDS) format.</w:t>
            </w:r>
          </w:p>
        </w:tc>
        <w:tc>
          <w:tcPr>
            <w:tcW w:w="0" w:type="auto"/>
            <w:tcBorders>
              <w:top w:val="outset" w:sz="6" w:space="0" w:color="666666"/>
              <w:left w:val="outset" w:sz="6" w:space="0" w:color="666666"/>
              <w:bottom w:val="outset" w:sz="6" w:space="0" w:color="666666"/>
              <w:right w:val="outset" w:sz="6" w:space="0" w:color="666666"/>
            </w:tcBorders>
            <w:hideMark/>
          </w:tcPr>
          <w:p w14:paraId="7383209F" w14:textId="77777777"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Employers</w:t>
            </w:r>
          </w:p>
        </w:tc>
      </w:tr>
      <w:tr w:rsidR="00A253A2" w:rsidRPr="00A253A2" w14:paraId="1B226450" w14:textId="77777777"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14:paraId="4C707F65" w14:textId="77777777"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 xml:space="preserve">June 1, 2015* </w:t>
            </w:r>
          </w:p>
          <w:p w14:paraId="12D42634" w14:textId="77777777"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December 1, 2015</w:t>
            </w:r>
          </w:p>
        </w:tc>
        <w:tc>
          <w:tcPr>
            <w:tcW w:w="0" w:type="auto"/>
            <w:tcBorders>
              <w:top w:val="outset" w:sz="6" w:space="0" w:color="666666"/>
              <w:left w:val="outset" w:sz="6" w:space="0" w:color="666666"/>
              <w:bottom w:val="outset" w:sz="6" w:space="0" w:color="666666"/>
              <w:right w:val="outset" w:sz="6" w:space="0" w:color="666666"/>
            </w:tcBorders>
            <w:hideMark/>
          </w:tcPr>
          <w:p w14:paraId="6FCA4A91"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 xml:space="preserve">Compliance with all modified provisions of this final rule, except: </w:t>
            </w:r>
          </w:p>
          <w:p w14:paraId="3E9B86ED" w14:textId="77777777" w:rsidR="00A253A2" w:rsidRPr="00A253A2" w:rsidRDefault="00A253A2" w:rsidP="00A253A2">
            <w:pPr>
              <w:spacing w:before="100" w:beforeAutospacing="1" w:after="100" w:afterAutospacing="1"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The Distributor shall not ship containers labeled by the chemical manufacturer or importer unless it is a GHS label</w:t>
            </w:r>
          </w:p>
        </w:tc>
        <w:tc>
          <w:tcPr>
            <w:tcW w:w="0" w:type="auto"/>
            <w:tcBorders>
              <w:top w:val="outset" w:sz="6" w:space="0" w:color="666666"/>
              <w:left w:val="outset" w:sz="6" w:space="0" w:color="666666"/>
              <w:bottom w:val="outset" w:sz="6" w:space="0" w:color="666666"/>
              <w:right w:val="outset" w:sz="6" w:space="0" w:color="666666"/>
            </w:tcBorders>
            <w:hideMark/>
          </w:tcPr>
          <w:p w14:paraId="6F93FB73"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Chemical manufacturers, importers, distributors and employers</w:t>
            </w:r>
          </w:p>
        </w:tc>
      </w:tr>
      <w:tr w:rsidR="00A253A2" w:rsidRPr="00A253A2" w14:paraId="3E066342" w14:textId="77777777"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14:paraId="116F1C85"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June 1, 2016</w:t>
            </w:r>
          </w:p>
        </w:tc>
        <w:tc>
          <w:tcPr>
            <w:tcW w:w="0" w:type="auto"/>
            <w:tcBorders>
              <w:top w:val="outset" w:sz="6" w:space="0" w:color="666666"/>
              <w:left w:val="outset" w:sz="6" w:space="0" w:color="666666"/>
              <w:bottom w:val="outset" w:sz="6" w:space="0" w:color="666666"/>
              <w:right w:val="outset" w:sz="6" w:space="0" w:color="666666"/>
            </w:tcBorders>
            <w:hideMark/>
          </w:tcPr>
          <w:p w14:paraId="6EA5CA6B"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Update alternative workplace labeling and hazard communication program as necessary, and provide additional employee training for newly identified physical or health hazards.</w:t>
            </w:r>
          </w:p>
        </w:tc>
        <w:tc>
          <w:tcPr>
            <w:tcW w:w="0" w:type="auto"/>
            <w:tcBorders>
              <w:top w:val="outset" w:sz="6" w:space="0" w:color="666666"/>
              <w:left w:val="outset" w:sz="6" w:space="0" w:color="666666"/>
              <w:bottom w:val="outset" w:sz="6" w:space="0" w:color="666666"/>
              <w:right w:val="outset" w:sz="6" w:space="0" w:color="666666"/>
            </w:tcBorders>
            <w:hideMark/>
          </w:tcPr>
          <w:p w14:paraId="69535C3C"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Employers</w:t>
            </w:r>
          </w:p>
        </w:tc>
      </w:tr>
      <w:tr w:rsidR="00A253A2" w:rsidRPr="00A253A2" w14:paraId="43AB217D" w14:textId="77777777" w:rsidTr="00A253A2">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14:paraId="161A9F50"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Transition Period to the effective completion dates noted above</w:t>
            </w:r>
          </w:p>
        </w:tc>
        <w:tc>
          <w:tcPr>
            <w:tcW w:w="0" w:type="auto"/>
            <w:tcBorders>
              <w:top w:val="outset" w:sz="6" w:space="0" w:color="666666"/>
              <w:left w:val="outset" w:sz="6" w:space="0" w:color="666666"/>
              <w:bottom w:val="outset" w:sz="6" w:space="0" w:color="666666"/>
              <w:right w:val="outset" w:sz="6" w:space="0" w:color="666666"/>
            </w:tcBorders>
            <w:hideMark/>
          </w:tcPr>
          <w:p w14:paraId="165E8CB8"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May comply with either 29 CFR 1910.1200 (the final standard), or the current standard, or both</w:t>
            </w:r>
          </w:p>
        </w:tc>
        <w:tc>
          <w:tcPr>
            <w:tcW w:w="0" w:type="auto"/>
            <w:tcBorders>
              <w:top w:val="outset" w:sz="6" w:space="0" w:color="666666"/>
              <w:left w:val="outset" w:sz="6" w:space="0" w:color="666666"/>
              <w:bottom w:val="outset" w:sz="6" w:space="0" w:color="666666"/>
              <w:right w:val="outset" w:sz="6" w:space="0" w:color="666666"/>
            </w:tcBorders>
            <w:hideMark/>
          </w:tcPr>
          <w:p w14:paraId="44491B5A" w14:textId="77777777" w:rsidR="00A253A2" w:rsidRPr="00A253A2" w:rsidRDefault="00A253A2" w:rsidP="00A253A2">
            <w:pPr>
              <w:spacing w:after="0" w:line="240" w:lineRule="auto"/>
              <w:jc w:val="center"/>
              <w:rPr>
                <w:rFonts w:ascii="Tahoma" w:eastAsia="Times New Roman" w:hAnsi="Tahoma" w:cs="Tahoma"/>
                <w:color w:val="000000"/>
                <w:sz w:val="19"/>
                <w:szCs w:val="19"/>
              </w:rPr>
            </w:pPr>
            <w:r w:rsidRPr="00A253A2">
              <w:rPr>
                <w:rFonts w:ascii="Tahoma" w:eastAsia="Times New Roman" w:hAnsi="Tahoma" w:cs="Tahoma"/>
                <w:color w:val="000000"/>
                <w:sz w:val="19"/>
                <w:szCs w:val="19"/>
              </w:rPr>
              <w:t>Chemical manufacturers, importers, distributors, and employers</w:t>
            </w:r>
          </w:p>
        </w:tc>
      </w:tr>
    </w:tbl>
    <w:p w14:paraId="1730916E" w14:textId="77777777" w:rsidR="00A253A2" w:rsidRPr="00C22CBE" w:rsidRDefault="00A253A2">
      <w:pPr>
        <w:rPr>
          <w:sz w:val="20"/>
          <w:szCs w:val="20"/>
        </w:rPr>
      </w:pPr>
      <w:r w:rsidRPr="00C22CBE">
        <w:rPr>
          <w:sz w:val="20"/>
          <w:szCs w:val="20"/>
        </w:rPr>
        <w:t xml:space="preserve">Source: </w:t>
      </w:r>
      <w:hyperlink r:id="rId12" w:history="1">
        <w:r w:rsidRPr="00C22CBE">
          <w:rPr>
            <w:rStyle w:val="Hyperlink"/>
            <w:sz w:val="20"/>
            <w:szCs w:val="20"/>
          </w:rPr>
          <w:t>http://www.osha.gov/dsg/hazcom/effectivedates.html</w:t>
        </w:r>
      </w:hyperlink>
    </w:p>
    <w:p w14:paraId="3D47D458" w14:textId="77777777" w:rsidR="00C22CBE" w:rsidRDefault="00C22CBE" w:rsidP="0074433D">
      <w:pPr>
        <w:shd w:val="clear" w:color="auto" w:fill="FFFFFF"/>
        <w:spacing w:before="100" w:beforeAutospacing="1" w:after="100" w:afterAutospacing="1" w:line="240" w:lineRule="auto"/>
        <w:outlineLvl w:val="0"/>
        <w:rPr>
          <w:rFonts w:ascii="Arial" w:hAnsi="Arial" w:cs="Arial"/>
          <w:b/>
          <w:bCs/>
          <w:color w:val="003399"/>
        </w:rPr>
      </w:pPr>
      <w:r w:rsidRPr="0074433D">
        <w:rPr>
          <w:rFonts w:ascii="Tahoma" w:eastAsia="Times New Roman" w:hAnsi="Tahoma" w:cs="Tahoma"/>
          <w:b/>
          <w:bCs/>
          <w:color w:val="000000"/>
          <w:kern w:val="36"/>
          <w:sz w:val="28"/>
          <w:szCs w:val="28"/>
        </w:rPr>
        <w:t>Educational Materials on HCS and GHS Now</w:t>
      </w:r>
      <w:r>
        <w:rPr>
          <w:rFonts w:ascii="Arial" w:hAnsi="Arial" w:cs="Arial"/>
          <w:b/>
          <w:bCs/>
          <w:color w:val="003399"/>
        </w:rPr>
        <w:t xml:space="preserve"> </w:t>
      </w:r>
      <w:r w:rsidRPr="0074433D">
        <w:rPr>
          <w:rFonts w:ascii="Tahoma" w:eastAsia="Times New Roman" w:hAnsi="Tahoma" w:cs="Tahoma"/>
          <w:b/>
          <w:bCs/>
          <w:color w:val="000000"/>
          <w:kern w:val="36"/>
          <w:sz w:val="28"/>
          <w:szCs w:val="28"/>
        </w:rPr>
        <w:t>Available</w:t>
      </w:r>
    </w:p>
    <w:p w14:paraId="07AA1455" w14:textId="77777777" w:rsidR="00C22CBE" w:rsidRDefault="00C22CBE" w:rsidP="00C22CBE">
      <w:pPr>
        <w:pStyle w:val="NormalWeb"/>
        <w:spacing w:before="0" w:beforeAutospacing="0"/>
        <w:ind w:firstLine="225"/>
        <w:jc w:val="both"/>
        <w:rPr>
          <w:rFonts w:ascii="Arial" w:hAnsi="Arial" w:cs="Arial"/>
          <w:sz w:val="20"/>
          <w:szCs w:val="20"/>
        </w:rPr>
      </w:pPr>
      <w:r>
        <w:rPr>
          <w:rFonts w:ascii="Arial" w:hAnsi="Arial" w:cs="Arial"/>
          <w:sz w:val="20"/>
          <w:szCs w:val="20"/>
        </w:rPr>
        <w:t xml:space="preserve">OSHA has issued several new educational resources to provide workers and employers helpful information about OSHA's harmonized Hazard Communication Standard. </w:t>
      </w:r>
      <w:proofErr w:type="spellStart"/>
      <w:r>
        <w:rPr>
          <w:rFonts w:ascii="Arial" w:hAnsi="Arial" w:cs="Arial"/>
          <w:sz w:val="20"/>
          <w:szCs w:val="20"/>
        </w:rPr>
        <w:t>QuickCards</w:t>
      </w:r>
      <w:proofErr w:type="spellEnd"/>
      <w:r>
        <w:rPr>
          <w:rFonts w:ascii="Arial" w:hAnsi="Arial" w:cs="Arial"/>
          <w:sz w:val="20"/>
          <w:szCs w:val="20"/>
        </w:rPr>
        <w:t xml:space="preserve"> on safety data sheets, labels and pictograms are </w:t>
      </w:r>
      <w:hyperlink r:id="rId13" w:history="1">
        <w:r>
          <w:rPr>
            <w:rStyle w:val="Hyperlink"/>
            <w:rFonts w:ascii="Arial" w:hAnsi="Arial" w:cs="Arial"/>
            <w:sz w:val="20"/>
            <w:szCs w:val="20"/>
          </w:rPr>
          <w:t>available here</w:t>
        </w:r>
      </w:hyperlink>
      <w:r>
        <w:rPr>
          <w:rFonts w:ascii="Arial" w:hAnsi="Arial" w:cs="Arial"/>
          <w:sz w:val="20"/>
          <w:szCs w:val="20"/>
        </w:rPr>
        <w:t xml:space="preserve"> in both English and Spanish. More details about OSHA's Hazard Communication Standard Final Rule are also available in OSHA's new </w:t>
      </w:r>
      <w:hyperlink r:id="rId14" w:history="1">
        <w:r>
          <w:rPr>
            <w:rStyle w:val="Hyperlink"/>
            <w:rFonts w:ascii="Arial" w:hAnsi="Arial" w:cs="Arial"/>
            <w:sz w:val="20"/>
            <w:szCs w:val="20"/>
          </w:rPr>
          <w:t>fact sheet</w:t>
        </w:r>
      </w:hyperlink>
      <w:r>
        <w:rPr>
          <w:rFonts w:ascii="Arial" w:hAnsi="Arial" w:cs="Arial"/>
          <w:sz w:val="20"/>
          <w:szCs w:val="20"/>
        </w:rPr>
        <w:t>.</w:t>
      </w:r>
    </w:p>
    <w:p w14:paraId="22DAA49F" w14:textId="77777777" w:rsidR="00C22CBE" w:rsidRDefault="00C22CBE" w:rsidP="00C22CBE">
      <w:pPr>
        <w:pStyle w:val="NormalWeb"/>
        <w:spacing w:after="0" w:afterAutospacing="0"/>
        <w:jc w:val="both"/>
        <w:rPr>
          <w:rFonts w:ascii="Tahoma" w:hAnsi="Tahoma" w:cs="Tahoma"/>
          <w:b/>
          <w:bCs/>
          <w:color w:val="000000"/>
          <w:kern w:val="36"/>
          <w:sz w:val="28"/>
          <w:szCs w:val="28"/>
        </w:rPr>
      </w:pPr>
      <w:r w:rsidRPr="0074433D">
        <w:rPr>
          <w:rFonts w:ascii="Tahoma" w:hAnsi="Tahoma" w:cs="Tahoma"/>
          <w:b/>
          <w:bCs/>
          <w:color w:val="000000"/>
          <w:kern w:val="36"/>
          <w:sz w:val="28"/>
          <w:szCs w:val="28"/>
        </w:rPr>
        <w:t>For Additional Information</w:t>
      </w:r>
    </w:p>
    <w:p w14:paraId="38EA33E4" w14:textId="77777777" w:rsidR="0074433D" w:rsidRPr="0074433D" w:rsidRDefault="0074433D" w:rsidP="00C22CBE">
      <w:pPr>
        <w:pStyle w:val="NormalWeb"/>
        <w:spacing w:after="0" w:afterAutospacing="0"/>
        <w:jc w:val="both"/>
        <w:rPr>
          <w:rFonts w:ascii="Tahoma" w:hAnsi="Tahoma" w:cs="Tahoma"/>
          <w:b/>
          <w:bCs/>
          <w:color w:val="000000"/>
          <w:kern w:val="36"/>
          <w:sz w:val="28"/>
          <w:szCs w:val="28"/>
        </w:rPr>
      </w:pPr>
    </w:p>
    <w:tbl>
      <w:tblPr>
        <w:tblpPr w:leftFromText="195" w:rightFromText="45" w:vertAnchor="text" w:tblpXSpec="right" w:tblpYSpec="center"/>
        <w:tblW w:w="2550" w:type="dxa"/>
        <w:tblCellSpacing w:w="0" w:type="dxa"/>
        <w:tblCellMar>
          <w:left w:w="0" w:type="dxa"/>
          <w:right w:w="0" w:type="dxa"/>
        </w:tblCellMar>
        <w:tblLook w:val="04A0" w:firstRow="1" w:lastRow="0" w:firstColumn="1" w:lastColumn="0" w:noHBand="0" w:noVBand="1"/>
      </w:tblPr>
      <w:tblGrid>
        <w:gridCol w:w="2550"/>
      </w:tblGrid>
      <w:tr w:rsidR="00C22CBE" w14:paraId="64617E80" w14:textId="77777777" w:rsidTr="00C22CBE">
        <w:trPr>
          <w:tblCellSpacing w:w="0" w:type="dxa"/>
        </w:trPr>
        <w:tc>
          <w:tcPr>
            <w:tcW w:w="0" w:type="auto"/>
            <w:vAlign w:val="center"/>
            <w:hideMark/>
          </w:tcPr>
          <w:p w14:paraId="0BD57A4A" w14:textId="77777777" w:rsidR="00C22CBE" w:rsidRDefault="00C22CBE">
            <w:pPr>
              <w:jc w:val="center"/>
              <w:rPr>
                <w:rFonts w:eastAsia="Times New Roman"/>
                <w:sz w:val="24"/>
                <w:szCs w:val="24"/>
              </w:rPr>
            </w:pPr>
            <w:r>
              <w:rPr>
                <w:rFonts w:eastAsia="Times New Roman"/>
                <w:noProof/>
              </w:rPr>
              <w:drawing>
                <wp:inline distT="0" distB="0" distL="0" distR="0" wp14:anchorId="3C72A1DF" wp14:editId="14B8C0F4">
                  <wp:extent cx="1619250" cy="1019175"/>
                  <wp:effectExtent l="0" t="0" r="0" b="9525"/>
                  <wp:docPr id="1" name="Picture 1" descr="OSHA's new harmonized Hazard Commun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s new harmonized Hazard Communication p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019175"/>
                          </a:xfrm>
                          <a:prstGeom prst="rect">
                            <a:avLst/>
                          </a:prstGeom>
                          <a:noFill/>
                          <a:ln>
                            <a:noFill/>
                          </a:ln>
                        </pic:spPr>
                      </pic:pic>
                    </a:graphicData>
                  </a:graphic>
                </wp:inline>
              </w:drawing>
            </w:r>
          </w:p>
          <w:p w14:paraId="17C10ECD" w14:textId="77777777" w:rsidR="00C22CBE" w:rsidRDefault="00C22CBE">
            <w:pPr>
              <w:jc w:val="center"/>
              <w:rPr>
                <w:rFonts w:ascii="Arial" w:eastAsia="Times New Roman" w:hAnsi="Arial" w:cs="Arial"/>
                <w:sz w:val="14"/>
                <w:szCs w:val="14"/>
              </w:rPr>
            </w:pPr>
            <w:r>
              <w:rPr>
                <w:rFonts w:ascii="Arial" w:eastAsia="Times New Roman" w:hAnsi="Arial" w:cs="Arial"/>
                <w:sz w:val="14"/>
                <w:szCs w:val="14"/>
              </w:rPr>
              <w:t>OSHA's new harmonized Hazard Communication page.</w:t>
            </w:r>
          </w:p>
        </w:tc>
      </w:tr>
    </w:tbl>
    <w:p w14:paraId="0B3EDEE7" w14:textId="77777777" w:rsidR="00C22CBE" w:rsidRDefault="00C22CBE" w:rsidP="00C22CBE">
      <w:pPr>
        <w:pStyle w:val="NormalWeb"/>
        <w:spacing w:before="0" w:beforeAutospacing="0"/>
        <w:ind w:firstLine="225"/>
        <w:jc w:val="both"/>
        <w:rPr>
          <w:rFonts w:ascii="Arial" w:eastAsiaTheme="minorHAnsi" w:hAnsi="Arial" w:cs="Arial"/>
          <w:sz w:val="20"/>
          <w:szCs w:val="20"/>
        </w:rPr>
      </w:pPr>
      <w:r>
        <w:rPr>
          <w:rFonts w:ascii="Arial" w:hAnsi="Arial" w:cs="Arial"/>
          <w:sz w:val="20"/>
          <w:szCs w:val="20"/>
        </w:rPr>
        <w:t xml:space="preserve">Further information for workers, employers and downstream users of hazardous chemicals can be reviewed at OSHA's </w:t>
      </w:r>
      <w:hyperlink r:id="rId16" w:history="1">
        <w:r>
          <w:rPr>
            <w:rStyle w:val="Hyperlink"/>
            <w:rFonts w:ascii="Arial" w:hAnsi="Arial" w:cs="Arial"/>
            <w:sz w:val="20"/>
            <w:szCs w:val="20"/>
          </w:rPr>
          <w:t>Safety and Health Topics page on Hazard Communication</w:t>
        </w:r>
      </w:hyperlink>
      <w:r>
        <w:rPr>
          <w:rFonts w:ascii="Arial" w:hAnsi="Arial" w:cs="Arial"/>
          <w:sz w:val="20"/>
          <w:szCs w:val="20"/>
        </w:rPr>
        <w:t xml:space="preserve">, which includes links to OSHA's revised Hazard Communication Standard and guidance materials such as frequently asked questions, </w:t>
      </w:r>
      <w:proofErr w:type="spellStart"/>
      <w:r>
        <w:rPr>
          <w:rFonts w:ascii="Arial" w:hAnsi="Arial" w:cs="Arial"/>
          <w:sz w:val="20"/>
          <w:szCs w:val="20"/>
        </w:rPr>
        <w:t>QuickCards</w:t>
      </w:r>
      <w:proofErr w:type="spellEnd"/>
      <w:r>
        <w:rPr>
          <w:rFonts w:ascii="Arial" w:hAnsi="Arial" w:cs="Arial"/>
          <w:sz w:val="20"/>
          <w:szCs w:val="20"/>
        </w:rPr>
        <w:t xml:space="preserve">, and OSHA's </w:t>
      </w:r>
      <w:hyperlink r:id="rId17" w:history="1">
        <w:r>
          <w:rPr>
            <w:rStyle w:val="Hyperlink"/>
            <w:rFonts w:ascii="Arial" w:hAnsi="Arial" w:cs="Arial"/>
            <w:sz w:val="20"/>
            <w:szCs w:val="20"/>
          </w:rPr>
          <w:t>Guide to the GHS</w:t>
        </w:r>
      </w:hyperlink>
      <w:r>
        <w:rPr>
          <w:rFonts w:ascii="Arial" w:hAnsi="Arial" w:cs="Arial"/>
          <w:sz w:val="20"/>
          <w:szCs w:val="20"/>
        </w:rPr>
        <w:t>.</w:t>
      </w:r>
    </w:p>
    <w:p w14:paraId="05F9F4B3" w14:textId="77777777" w:rsidR="00C22CBE" w:rsidRDefault="00C22CBE"/>
    <w:p w14:paraId="612D3404" w14:textId="77777777" w:rsidR="00D8157E" w:rsidRDefault="0074433D">
      <w:r>
        <w:t>Further information c</w:t>
      </w:r>
      <w:r w:rsidR="00D8157E">
        <w:t xml:space="preserve">ontact: </w:t>
      </w:r>
      <w:r>
        <w:t xml:space="preserve"> </w:t>
      </w:r>
      <w:hyperlink r:id="rId18" w:history="1">
        <w:proofErr w:type="spellStart"/>
        <w:r>
          <w:rPr>
            <w:rStyle w:val="Hyperlink"/>
          </w:rPr>
          <w:t>Miles_Free</w:t>
        </w:r>
        <w:proofErr w:type="spellEnd"/>
      </w:hyperlink>
      <w:r>
        <w:t xml:space="preserve"> </w:t>
      </w:r>
      <w:r w:rsidR="00D8157E">
        <w:t>Director, Industry Research and Technology, PMPA</w:t>
      </w:r>
    </w:p>
    <w:sectPr w:rsidR="00D8157E" w:rsidSect="0074433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0C969" w14:textId="77777777" w:rsidR="00B84C2E" w:rsidRDefault="00B84C2E" w:rsidP="00D8157E">
      <w:pPr>
        <w:spacing w:after="0" w:line="240" w:lineRule="auto"/>
      </w:pPr>
      <w:r>
        <w:separator/>
      </w:r>
    </w:p>
  </w:endnote>
  <w:endnote w:type="continuationSeparator" w:id="0">
    <w:p w14:paraId="77640C14" w14:textId="77777777" w:rsidR="00B84C2E" w:rsidRDefault="00B84C2E" w:rsidP="00D8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1A3A1" w14:textId="77777777" w:rsidR="00B84C2E" w:rsidRDefault="00B84C2E" w:rsidP="00D8157E">
      <w:pPr>
        <w:spacing w:after="0" w:line="240" w:lineRule="auto"/>
      </w:pPr>
      <w:r>
        <w:separator/>
      </w:r>
    </w:p>
  </w:footnote>
  <w:footnote w:type="continuationSeparator" w:id="0">
    <w:p w14:paraId="6F4527CB" w14:textId="77777777" w:rsidR="00B84C2E" w:rsidRDefault="00B84C2E" w:rsidP="00D81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A2"/>
    <w:rsid w:val="0074433D"/>
    <w:rsid w:val="008D78CF"/>
    <w:rsid w:val="008E4983"/>
    <w:rsid w:val="00A253A2"/>
    <w:rsid w:val="00B6088C"/>
    <w:rsid w:val="00B84C2E"/>
    <w:rsid w:val="00C22CBE"/>
    <w:rsid w:val="00D43CB4"/>
    <w:rsid w:val="00D8157E"/>
    <w:rsid w:val="00E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5538"/>
  <w15:docId w15:val="{2BF607F7-5525-A64F-8482-67633E79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5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2"/>
    <w:rPr>
      <w:rFonts w:ascii="Times New Roman" w:eastAsia="Times New Roman" w:hAnsi="Times New Roman" w:cs="Times New Roman"/>
      <w:b/>
      <w:bCs/>
      <w:kern w:val="36"/>
      <w:sz w:val="48"/>
      <w:szCs w:val="48"/>
    </w:rPr>
  </w:style>
  <w:style w:type="paragraph" w:customStyle="1" w:styleId="blackten1">
    <w:name w:val="blackten1"/>
    <w:basedOn w:val="Normal"/>
    <w:rsid w:val="00A253A2"/>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blackboldten1">
    <w:name w:val="blackboldten1"/>
    <w:basedOn w:val="Normal"/>
    <w:rsid w:val="00A253A2"/>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styleId="NormalWeb">
    <w:name w:val="Normal (Web)"/>
    <w:basedOn w:val="Normal"/>
    <w:uiPriority w:val="99"/>
    <w:unhideWhenUsed/>
    <w:rsid w:val="00A253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3A2"/>
    <w:rPr>
      <w:color w:val="0000FF" w:themeColor="hyperlink"/>
      <w:u w:val="single"/>
    </w:rPr>
  </w:style>
  <w:style w:type="character" w:styleId="Strong">
    <w:name w:val="Strong"/>
    <w:basedOn w:val="DefaultParagraphFont"/>
    <w:uiPriority w:val="22"/>
    <w:qFormat/>
    <w:rsid w:val="00C22CBE"/>
    <w:rPr>
      <w:b/>
      <w:bCs/>
    </w:rPr>
  </w:style>
  <w:style w:type="paragraph" w:styleId="BalloonText">
    <w:name w:val="Balloon Text"/>
    <w:basedOn w:val="Normal"/>
    <w:link w:val="BalloonTextChar"/>
    <w:uiPriority w:val="99"/>
    <w:semiHidden/>
    <w:unhideWhenUsed/>
    <w:rsid w:val="00C2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BE"/>
    <w:rPr>
      <w:rFonts w:ascii="Tahoma" w:hAnsi="Tahoma" w:cs="Tahoma"/>
      <w:sz w:val="16"/>
      <w:szCs w:val="16"/>
    </w:rPr>
  </w:style>
  <w:style w:type="paragraph" w:styleId="Header">
    <w:name w:val="header"/>
    <w:basedOn w:val="Normal"/>
    <w:link w:val="HeaderChar"/>
    <w:uiPriority w:val="99"/>
    <w:unhideWhenUsed/>
    <w:rsid w:val="00D81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7E"/>
  </w:style>
  <w:style w:type="paragraph" w:styleId="Footer">
    <w:name w:val="footer"/>
    <w:basedOn w:val="Normal"/>
    <w:link w:val="FooterChar"/>
    <w:uiPriority w:val="99"/>
    <w:unhideWhenUsed/>
    <w:rsid w:val="00D8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39087">
      <w:bodyDiv w:val="1"/>
      <w:marLeft w:val="0"/>
      <w:marRight w:val="0"/>
      <w:marTop w:val="0"/>
      <w:marBottom w:val="0"/>
      <w:divBdr>
        <w:top w:val="none" w:sz="0" w:space="0" w:color="auto"/>
        <w:left w:val="none" w:sz="0" w:space="0" w:color="auto"/>
        <w:bottom w:val="none" w:sz="0" w:space="0" w:color="auto"/>
        <w:right w:val="none" w:sz="0" w:space="0" w:color="auto"/>
      </w:divBdr>
      <w:divsChild>
        <w:div w:id="1763408297">
          <w:marLeft w:val="0"/>
          <w:marRight w:val="0"/>
          <w:marTop w:val="0"/>
          <w:marBottom w:val="0"/>
          <w:divBdr>
            <w:top w:val="single" w:sz="2" w:space="0" w:color="454545"/>
            <w:left w:val="single" w:sz="6" w:space="0" w:color="454545"/>
            <w:bottom w:val="single" w:sz="6" w:space="0" w:color="454545"/>
            <w:right w:val="single" w:sz="6" w:space="0" w:color="454545"/>
          </w:divBdr>
          <w:divsChild>
            <w:div w:id="1713459138">
              <w:marLeft w:val="0"/>
              <w:marRight w:val="0"/>
              <w:marTop w:val="0"/>
              <w:marBottom w:val="0"/>
              <w:divBdr>
                <w:top w:val="none" w:sz="0" w:space="0" w:color="auto"/>
                <w:left w:val="none" w:sz="0" w:space="0" w:color="auto"/>
                <w:bottom w:val="none" w:sz="0" w:space="0" w:color="auto"/>
                <w:right w:val="none" w:sz="0" w:space="0" w:color="auto"/>
              </w:divBdr>
              <w:divsChild>
                <w:div w:id="423384820">
                  <w:marLeft w:val="0"/>
                  <w:marRight w:val="0"/>
                  <w:marTop w:val="0"/>
                  <w:marBottom w:val="0"/>
                  <w:divBdr>
                    <w:top w:val="none" w:sz="0" w:space="0" w:color="auto"/>
                    <w:left w:val="none" w:sz="0" w:space="0" w:color="auto"/>
                    <w:bottom w:val="none" w:sz="0" w:space="0" w:color="auto"/>
                    <w:right w:val="none" w:sz="0" w:space="0" w:color="auto"/>
                  </w:divBdr>
                  <w:divsChild>
                    <w:div w:id="2070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2170">
      <w:bodyDiv w:val="1"/>
      <w:marLeft w:val="0"/>
      <w:marRight w:val="0"/>
      <w:marTop w:val="0"/>
      <w:marBottom w:val="0"/>
      <w:divBdr>
        <w:top w:val="none" w:sz="0" w:space="0" w:color="auto"/>
        <w:left w:val="none" w:sz="0" w:space="0" w:color="auto"/>
        <w:bottom w:val="none" w:sz="0" w:space="0" w:color="auto"/>
        <w:right w:val="none" w:sz="0" w:space="0" w:color="auto"/>
      </w:divBdr>
    </w:div>
    <w:div w:id="844901748">
      <w:bodyDiv w:val="1"/>
      <w:marLeft w:val="0"/>
      <w:marRight w:val="0"/>
      <w:marTop w:val="0"/>
      <w:marBottom w:val="0"/>
      <w:divBdr>
        <w:top w:val="none" w:sz="0" w:space="0" w:color="auto"/>
        <w:left w:val="none" w:sz="0" w:space="0" w:color="auto"/>
        <w:bottom w:val="none" w:sz="0" w:space="0" w:color="auto"/>
        <w:right w:val="none" w:sz="0" w:space="0" w:color="auto"/>
      </w:divBdr>
    </w:div>
    <w:div w:id="1339845760">
      <w:bodyDiv w:val="1"/>
      <w:marLeft w:val="0"/>
      <w:marRight w:val="0"/>
      <w:marTop w:val="0"/>
      <w:marBottom w:val="0"/>
      <w:divBdr>
        <w:top w:val="none" w:sz="0" w:space="0" w:color="auto"/>
        <w:left w:val="none" w:sz="0" w:space="0" w:color="auto"/>
        <w:bottom w:val="none" w:sz="0" w:space="0" w:color="auto"/>
        <w:right w:val="none" w:sz="0" w:space="0" w:color="auto"/>
      </w:divBdr>
    </w:div>
    <w:div w:id="1686322461">
      <w:bodyDiv w:val="1"/>
      <w:marLeft w:val="0"/>
      <w:marRight w:val="0"/>
      <w:marTop w:val="0"/>
      <w:marBottom w:val="0"/>
      <w:divBdr>
        <w:top w:val="none" w:sz="0" w:space="0" w:color="auto"/>
        <w:left w:val="none" w:sz="0" w:space="0" w:color="auto"/>
        <w:bottom w:val="none" w:sz="0" w:space="0" w:color="auto"/>
        <w:right w:val="none" w:sz="0" w:space="0" w:color="auto"/>
      </w:divBdr>
    </w:div>
    <w:div w:id="2027827109">
      <w:bodyDiv w:val="1"/>
      <w:marLeft w:val="0"/>
      <w:marRight w:val="0"/>
      <w:marTop w:val="0"/>
      <w:marBottom w:val="0"/>
      <w:divBdr>
        <w:top w:val="none" w:sz="0" w:space="0" w:color="auto"/>
        <w:left w:val="none" w:sz="0" w:space="0" w:color="auto"/>
        <w:bottom w:val="none" w:sz="0" w:space="0" w:color="auto"/>
        <w:right w:val="none" w:sz="0" w:space="0" w:color="auto"/>
      </w:divBdr>
    </w:div>
    <w:div w:id="20782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08&amp;&amp;&amp;http://www.osha.gov/dsg/hazcom/ghs-final-rule.html" TargetMode="External"/><Relationship Id="rId13"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5&amp;&amp;&amp;http://www.osha.gov/dsg/hazcom/ghsquickcards.html" TargetMode="External"/><Relationship Id="rId18" Type="http://schemas.openxmlformats.org/officeDocument/2006/relationships/hyperlink" Target="mailto:mfree@pmpa.org" TargetMode="External"/><Relationship Id="rId3" Type="http://schemas.openxmlformats.org/officeDocument/2006/relationships/webSettings" Target="webSettings.xml"/><Relationship Id="rId7" Type="http://schemas.openxmlformats.org/officeDocument/2006/relationships/hyperlink" Target="http://www.osha.gov/dsg/hazcom/ghs.html" TargetMode="External"/><Relationship Id="rId12" Type="http://schemas.openxmlformats.org/officeDocument/2006/relationships/hyperlink" Target="http://www.osha.gov/dsg/hazcom/effectivedates.html" TargetMode="External"/><Relationship Id="rId17"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8&amp;&amp;&amp;http://www.osha.gov/dsg/hazcom/ghs.html" TargetMode="External"/><Relationship Id="rId2" Type="http://schemas.openxmlformats.org/officeDocument/2006/relationships/settings" Target="settings.xml"/><Relationship Id="rId16"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7&amp;&amp;&amp;http://www.osha.gov/dsg/hazcom/index.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1&amp;&amp;&amp;http://www.osha.gov/Publications/HazComm_QuickCard_SafetyData.html"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0&amp;&amp;&amp;http://www.osha.gov/Publications/HazComm_QuickCard_Label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09&amp;&amp;&amp;http://www.osha.gov/dsg/hazcom/ghs.html" TargetMode="External"/><Relationship Id="rId14" Type="http://schemas.openxmlformats.org/officeDocument/2006/relationships/hyperlink" Target="http://links.govdelivery.com:80/track?type=click&amp;enid=ZWFzPTEmbWFpbGluZ2lkPTIwMTIwMzIyLjYzMzU3ODEmbWVzc2FnZWlkPU1EQi1QUkQtQlVMLTIwMTIwMzIyLjYzMzU3ODEmZGF0YWJhc2VpZD0xMDAxJnNlcmlhbD0xNjkyMjU2NyZlbWFpbGlkPW1mcmVlQHBtcGEub3JnJnVzZXJpZD1tZnJlZUBwbXBhLm9yZyZmbD0mZXh0cmE9TXVsdGl2YXJpYXRlSWQ9JiYm&amp;&amp;&amp;116&amp;&amp;&amp;http://www.osha.gov/dsg/hazcom/HCSFact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Miles1 Free</dc:creator>
  <cp:lastModifiedBy>Kirk Feiler</cp:lastModifiedBy>
  <cp:revision>2</cp:revision>
  <dcterms:created xsi:type="dcterms:W3CDTF">2021-05-25T19:05:00Z</dcterms:created>
  <dcterms:modified xsi:type="dcterms:W3CDTF">2021-05-25T19:05:00Z</dcterms:modified>
</cp:coreProperties>
</file>